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Style w:val="912"/>
          <w:rFonts w:ascii="Calibri" w:hAnsi="Calibri" w:cs="Calibri"/>
          <w:b/>
          <w:bCs/>
          <w:sz w:val="32"/>
          <w:szCs w:val="32"/>
        </w:rPr>
      </w:pPr>
      <w:r/>
      <w:bookmarkStart w:id="1" w:name="_GoBack"/>
      <w:r/>
      <w:bookmarkEnd w:id="1"/>
      <w:r>
        <w:rPr>
          <w:b/>
          <w:szCs w:val="28"/>
        </w:rPr>
        <w:t xml:space="preserve">ФИНАНСОВО-ЭКОНОМИЧЕСКОЕ ОБОСНОВАНИЕ</w:t>
      </w:r>
      <w:r>
        <w:rPr>
          <w:rStyle w:val="912"/>
          <w:b/>
          <w:sz w:val="32"/>
          <w:szCs w:val="32"/>
        </w:rPr>
      </w:r>
      <w:r>
        <w:rPr>
          <w:sz w:val="20"/>
        </w:rPr>
      </w:r>
    </w:p>
    <w:p>
      <w:pPr>
        <w:jc w:val="center"/>
        <w:rPr>
          <w:b/>
          <w:bCs/>
        </w:rPr>
      </w:pPr>
      <w:r>
        <w:rPr>
          <w:b/>
          <w:szCs w:val="28"/>
        </w:rPr>
        <w:t xml:space="preserve">к проекту </w:t>
      </w:r>
      <w:r>
        <w:rPr>
          <w:b/>
          <w:szCs w:val="28"/>
        </w:rPr>
        <w:t xml:space="preserve">з</w:t>
      </w:r>
      <w:r>
        <w:rPr>
          <w:b/>
          <w:szCs w:val="28"/>
        </w:rPr>
        <w:t xml:space="preserve">акона Новосибирской области «О внесении изменений в Закон Новосибирской области </w:t>
      </w:r>
      <w:r>
        <w:rPr>
          <w:b/>
          <w:szCs w:val="28"/>
        </w:rPr>
        <w:t xml:space="preserve">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  <w:r>
        <w:rPr>
          <w:b/>
          <w:bCs/>
        </w:rPr>
      </w:r>
    </w:p>
    <w:p>
      <w:pPr>
        <w:pStyle w:val="89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pStyle w:val="9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Проектом закона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Закон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предусматривает</w:t>
      </w:r>
      <w:r>
        <w:rPr>
          <w:rFonts w:ascii="Times New Roman" w:hAnsi="Times New Roman" w:cs="Times New Roman"/>
          <w:sz w:val="28"/>
          <w:szCs w:val="28"/>
        </w:rPr>
        <w:t xml:space="preserve">ся</w:t>
      </w:r>
      <w:r>
        <w:rPr>
          <w:rFonts w:ascii="Times New Roman" w:hAnsi="Times New Roman" w:cs="Times New Roman"/>
          <w:sz w:val="28"/>
          <w:szCs w:val="28"/>
        </w:rPr>
        <w:t xml:space="preserve"> установление нового расходного обязательства по предоставлению мер государственной поддержки региональному оператору (региональным операторам) </w:t>
      </w:r>
      <w:r>
        <w:rPr>
          <w:rFonts w:ascii="Times New Roman" w:hAnsi="Times New Roman" w:cs="Times New Roman"/>
          <w:sz w:val="28"/>
          <w:szCs w:val="28"/>
        </w:rPr>
        <w:t xml:space="preserve">(далее – региональный оператор) </w:t>
      </w:r>
      <w:r>
        <w:rPr>
          <w:rFonts w:ascii="Times New Roman" w:hAnsi="Times New Roman" w:cs="Times New Roman"/>
          <w:sz w:val="28"/>
          <w:szCs w:val="28"/>
        </w:rPr>
        <w:t xml:space="preserve">в сфере обращения с твердыми коммунальными отходами </w:t>
      </w:r>
      <w:r>
        <w:rPr>
          <w:rFonts w:ascii="Times New Roman" w:hAnsi="Times New Roman" w:cs="Times New Roman"/>
          <w:sz w:val="28"/>
          <w:szCs w:val="28"/>
        </w:rPr>
        <w:t xml:space="preserve">для создания условий устойчивого функционирования системы обращения с твердыми коммунальными отходами, на следующие цели:</w:t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1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1) финансовое обеспечение приобретения специальной техники, оборудования, используемых для оказания услуг по обращению с твердыми коммунальными отходами;</w:t>
      </w:r>
      <w:r/>
    </w:p>
    <w:p>
      <w:pPr>
        <w:pStyle w:val="911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2) возмещение затрат на приобретение специальной техники, оборудования, используемых для оказания услуг по обращению с твердыми коммунальными отходами, в период, не превышающий двух лет с момента приобретения региональным оператором;</w:t>
      </w:r>
      <w:r/>
    </w:p>
    <w:p>
      <w:pPr>
        <w:pStyle w:val="911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3) финансовое об</w:t>
      </w:r>
      <w:r>
        <w:rPr>
          <w:rFonts w:ascii="Times New Roman" w:hAnsi="Times New Roman" w:cs="Times New Roman"/>
          <w:sz w:val="28"/>
          <w:szCs w:val="28"/>
        </w:rPr>
        <w:t xml:space="preserve">еспечение оплаты лизинговых платежей по договорам финансовой аренды (договорам лизинга), заключенным региональным оператором для приобретения специальной техники, оборудования, используемых для оказания услуг по обращению с твердыми коммунальными отходами;</w:t>
      </w:r>
      <w:r/>
    </w:p>
    <w:p>
      <w:pPr>
        <w:pStyle w:val="911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4) во</w:t>
      </w:r>
      <w:r>
        <w:rPr>
          <w:rFonts w:ascii="Times New Roman" w:hAnsi="Times New Roman" w:cs="Times New Roman"/>
          <w:sz w:val="28"/>
          <w:szCs w:val="28"/>
        </w:rPr>
        <w:t xml:space="preserve">змещение затрат по оплате лизинговых платежей по договорам финансовой аренды (договорам лизинга), заключенным региональным оператором для приобретения специальной техники, оборудования, используемых для оказания услуг по обращению с твердыми коммунальными </w:t>
      </w:r>
      <w:r>
        <w:rPr>
          <w:rFonts w:ascii="Times New Roman" w:hAnsi="Times New Roman" w:cs="Times New Roman"/>
          <w:sz w:val="28"/>
          <w:szCs w:val="28"/>
        </w:rPr>
        <w:t xml:space="preserve">отходами,в</w:t>
      </w:r>
      <w:r>
        <w:rPr>
          <w:rFonts w:ascii="Times New Roman" w:hAnsi="Times New Roman" w:cs="Times New Roman"/>
          <w:sz w:val="28"/>
          <w:szCs w:val="28"/>
        </w:rPr>
        <w:t xml:space="preserve"> период, не превышающий одного года с момента возникновения таких затрат;</w:t>
      </w:r>
      <w:r/>
    </w:p>
    <w:p>
      <w:pPr>
        <w:pStyle w:val="911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5) возмещение затрат на ликвидацию мест несанкционированного размещения твердых коммунальных отходов на земельных участках, </w:t>
      </w:r>
      <w:r>
        <w:rPr>
          <w:rFonts w:ascii="Times New Roman" w:hAnsi="Times New Roman" w:cs="Times New Roman"/>
          <w:sz w:val="28"/>
          <w:szCs w:val="28"/>
        </w:rPr>
        <w:t xml:space="preserve">находящихся в государственной собственности Новосибирской области, или земельны</w:t>
      </w:r>
      <w:r>
        <w:rPr>
          <w:rFonts w:ascii="Times New Roman" w:hAnsi="Times New Roman" w:cs="Times New Roman"/>
          <w:sz w:val="28"/>
          <w:szCs w:val="28"/>
        </w:rPr>
        <w:t xml:space="preserve">х участках, государственная собственность на которые не разграничена, полномочия по распоряжению которыми осуществляет областной исполнительный орган Новосибирской области, уполномоченный в сфере управления и распоряжения имуществом Новосибирской области; </w:t>
      </w:r>
      <w:r/>
    </w:p>
    <w:p>
      <w:pPr>
        <w:pStyle w:val="911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6) возмещение затрат, возникших в период временного исполнения обязанностей регионального оператора;</w:t>
      </w:r>
      <w:r/>
    </w:p>
    <w:p>
      <w:pPr>
        <w:pStyle w:val="911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7) финансовое обеспечение приобретения программно-технических средств, используемых для размещения информации в федеральной государственной информационной системе учета твердых коммунальных отходов;</w:t>
      </w:r>
      <w:r/>
    </w:p>
    <w:p>
      <w:pPr>
        <w:pStyle w:val="9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возмещение затрат на п</w:t>
      </w:r>
      <w:r>
        <w:rPr>
          <w:rFonts w:ascii="Times New Roman" w:hAnsi="Times New Roman" w:cs="Times New Roman"/>
          <w:sz w:val="28"/>
          <w:szCs w:val="28"/>
        </w:rPr>
        <w:t xml:space="preserve">риобретение программно-технических средств, используемых для размещения информации в федеральной государственной информационной системе учета твердых коммунальных отходов, в период, не превышающий одного года с момента приобретения региональным оператором.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Меры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поддержки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ланируется предостав</w:t>
      </w:r>
      <w:r>
        <w:rPr>
          <w:rFonts w:ascii="Times New Roman" w:hAnsi="Times New Roman" w:cs="Times New Roman"/>
          <w:sz w:val="28"/>
          <w:szCs w:val="28"/>
        </w:rPr>
        <w:t xml:space="preserve">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экономически обоснованным расходам регионального оператора, неучтенным органом тарифного регулирования при установлении (корректировке) тарифа.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1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предусмотренных законопроектом мер государственной поддержки предполагается осуществлять за счёт средств областного бюджета Новосибирской области, предусмотренных на указанные цели в рамках государственной программы </w:t>
      </w:r>
      <w:r>
        <w:rPr>
          <w:rFonts w:ascii="Times New Roman" w:hAnsi="Times New Roman" w:cs="Times New Roman"/>
          <w:color w:val="212529"/>
          <w:sz w:val="28"/>
          <w:szCs w:val="28"/>
          <w:highlight w:val="white"/>
        </w:rPr>
        <w:t xml:space="preserve">«Развитие системы обращения с отходами производства и потребления в Новосибирской области», утвержденной постановлением Правительства Новосибирской области от 19.01.2015 № 10-п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</w:rPr>
      </w:r>
    </w:p>
    <w:p>
      <w:pPr>
        <w:pStyle w:val="9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и порядок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мер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поддержки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региональному оператору </w:t>
      </w:r>
      <w:r>
        <w:rPr>
          <w:rFonts w:ascii="Times New Roman" w:hAnsi="Times New Roman" w:cs="Times New Roman"/>
          <w:sz w:val="28"/>
          <w:szCs w:val="28"/>
        </w:rPr>
        <w:t xml:space="preserve">устанавливаются нормативным правовым актом Правительства Новосибирской области.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1"/>
        <w:jc w:val="both"/>
        <w:rPr>
          <w:rFonts w:ascii="Times New Roman" w:hAnsi="Times New Roman" w:cs="Times New Roman"/>
          <w:color w:val="eeece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 w:cs="Times New Roman"/>
          <w:color w:val="eeece1"/>
          <w:sz w:val="28"/>
          <w:szCs w:val="28"/>
        </w:rPr>
      </w:r>
      <w:r>
        <w:rPr>
          <w:rFonts w:ascii="Times New Roman" w:hAnsi="Times New Roman" w:cs="Times New Roman"/>
          <w:color w:val="eeece1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Times New Roman">
    <w:panose1 w:val="02020603050405020304"/>
  </w:font>
  <w:font w:name="Symbol">
    <w:panose1 w:val="05010000000000000000"/>
  </w:font>
  <w:font w:name="SimSun">
    <w:panose1 w:val="02000506000000020000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  <w:jc w:val="center"/>
    </w:pPr>
    <w:r/>
    <w:r/>
  </w:p>
  <w:p>
    <w:pPr>
      <w:pStyle w:val="73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end"/>
    </w:r>
    <w:r>
      <w:rPr>
        <w:rStyle w:val="904"/>
      </w:rPr>
    </w:r>
  </w:p>
  <w:p>
    <w:pPr>
      <w:pStyle w:val="7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8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3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5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5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6">
    <w:multiLevelType w:val="hybridMultilevel"/>
    <w:lvl w:ilvl="0">
      <w:start w:val="8"/>
      <w:numFmt w:val="bullet"/>
      <w:isLgl w:val="false"/>
      <w:suff w:val="tab"/>
      <w:lvlText w:val=""/>
      <w:lvlJc w:val="left"/>
      <w:pPr>
        <w:ind w:left="1069" w:hanging="360"/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214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8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5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4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1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09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717"/>
    <w:link w:val="709"/>
    <w:uiPriority w:val="9"/>
    <w:rPr>
      <w:rFonts w:ascii="Arial" w:hAnsi="Arial" w:eastAsia="Arial" w:cs="Arial"/>
      <w:sz w:val="34"/>
    </w:rPr>
  </w:style>
  <w:style w:type="character" w:styleId="22">
    <w:name w:val="Heading 5 Char"/>
    <w:basedOn w:val="717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17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17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17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17"/>
    <w:link w:val="71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17"/>
    <w:link w:val="731"/>
    <w:uiPriority w:val="10"/>
    <w:rPr>
      <w:sz w:val="48"/>
      <w:szCs w:val="48"/>
    </w:rPr>
  </w:style>
  <w:style w:type="character" w:styleId="37">
    <w:name w:val="Subtitle Char"/>
    <w:basedOn w:val="717"/>
    <w:link w:val="733"/>
    <w:uiPriority w:val="11"/>
    <w:rPr>
      <w:sz w:val="24"/>
      <w:szCs w:val="24"/>
    </w:rPr>
  </w:style>
  <w:style w:type="character" w:styleId="39">
    <w:name w:val="Quote Char"/>
    <w:link w:val="735"/>
    <w:uiPriority w:val="29"/>
    <w:rPr>
      <w:i/>
    </w:rPr>
  </w:style>
  <w:style w:type="character" w:styleId="41">
    <w:name w:val="Intense Quote Char"/>
    <w:link w:val="737"/>
    <w:uiPriority w:val="30"/>
    <w:rPr>
      <w:i/>
    </w:rPr>
  </w:style>
  <w:style w:type="character" w:styleId="47">
    <w:name w:val="Caption Char"/>
    <w:basedOn w:val="743"/>
    <w:link w:val="741"/>
    <w:uiPriority w:val="99"/>
  </w:style>
  <w:style w:type="character" w:styleId="176">
    <w:name w:val="Footnote Text Char"/>
    <w:link w:val="872"/>
    <w:uiPriority w:val="99"/>
    <w:rPr>
      <w:sz w:val="18"/>
    </w:rPr>
  </w:style>
  <w:style w:type="character" w:styleId="179">
    <w:name w:val="Endnote Text Char"/>
    <w:link w:val="875"/>
    <w:uiPriority w:val="99"/>
    <w:rPr>
      <w:sz w:val="20"/>
    </w:rPr>
  </w:style>
  <w:style w:type="paragraph" w:styleId="707" w:default="1">
    <w:name w:val="Normal"/>
    <w:qFormat/>
    <w:rPr>
      <w:rFonts w:eastAsia="Calibri"/>
      <w:sz w:val="28"/>
    </w:rPr>
  </w:style>
  <w:style w:type="paragraph" w:styleId="708">
    <w:name w:val="Heading 1"/>
    <w:basedOn w:val="707"/>
    <w:next w:val="707"/>
    <w:link w:val="889"/>
    <w:qFormat/>
    <w:pPr>
      <w:jc w:val="center"/>
      <w:keepNext/>
      <w:outlineLvl w:val="0"/>
    </w:pPr>
  </w:style>
  <w:style w:type="paragraph" w:styleId="709">
    <w:name w:val="Heading 2"/>
    <w:basedOn w:val="707"/>
    <w:next w:val="707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0">
    <w:name w:val="Heading 3"/>
    <w:basedOn w:val="707"/>
    <w:next w:val="707"/>
    <w:link w:val="890"/>
    <w:qFormat/>
    <w:pPr>
      <w:jc w:val="right"/>
      <w:keepNext/>
      <w:outlineLvl w:val="2"/>
    </w:pPr>
  </w:style>
  <w:style w:type="paragraph" w:styleId="711">
    <w:name w:val="Heading 4"/>
    <w:basedOn w:val="707"/>
    <w:next w:val="707"/>
    <w:link w:val="891"/>
    <w:qFormat/>
    <w:pPr>
      <w:ind w:firstLine="720"/>
      <w:jc w:val="both"/>
      <w:keepNext/>
      <w:spacing w:line="360" w:lineRule="auto"/>
      <w:outlineLvl w:val="3"/>
    </w:pPr>
    <w:rPr>
      <w:b/>
    </w:rPr>
  </w:style>
  <w:style w:type="paragraph" w:styleId="712">
    <w:name w:val="Heading 5"/>
    <w:basedOn w:val="707"/>
    <w:next w:val="707"/>
    <w:link w:val="72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3">
    <w:name w:val="Heading 6"/>
    <w:basedOn w:val="707"/>
    <w:next w:val="707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707"/>
    <w:next w:val="707"/>
    <w:link w:val="7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5">
    <w:name w:val="Heading 8"/>
    <w:basedOn w:val="707"/>
    <w:next w:val="707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707"/>
    <w:next w:val="707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 w:default="1">
    <w:name w:val="Default Paragraph Font"/>
    <w:uiPriority w:val="1"/>
    <w:semiHidden/>
    <w:unhideWhenUsed/>
  </w:style>
  <w:style w:type="table" w:styleId="7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9" w:default="1">
    <w:name w:val="No List"/>
    <w:uiPriority w:val="99"/>
    <w:semiHidden/>
    <w:unhideWhenUsed/>
  </w:style>
  <w:style w:type="character" w:styleId="720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21" w:customStyle="1">
    <w:name w:val="Заголовок 2 Знак"/>
    <w:link w:val="709"/>
    <w:uiPriority w:val="9"/>
    <w:rPr>
      <w:rFonts w:ascii="Arial" w:hAnsi="Arial" w:eastAsia="Arial" w:cs="Arial"/>
      <w:sz w:val="34"/>
    </w:rPr>
  </w:style>
  <w:style w:type="character" w:styleId="722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23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24" w:customStyle="1">
    <w:name w:val="Заголовок 5 Знак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725" w:customStyle="1">
    <w:name w:val="Заголовок 6 Знак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6" w:customStyle="1">
    <w:name w:val="Заголовок 7 Знак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7" w:customStyle="1">
    <w:name w:val="Заголовок 8 Знак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8" w:customStyle="1">
    <w:name w:val="Заголовок 9 Знак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List Paragraph"/>
    <w:basedOn w:val="707"/>
    <w:uiPriority w:val="34"/>
    <w:qFormat/>
    <w:pPr>
      <w:contextualSpacing/>
      <w:ind w:left="720"/>
    </w:pPr>
  </w:style>
  <w:style w:type="paragraph" w:styleId="730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731">
    <w:name w:val="Title"/>
    <w:basedOn w:val="707"/>
    <w:next w:val="707"/>
    <w:link w:val="7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2" w:customStyle="1">
    <w:name w:val="Заголовок Знак"/>
    <w:link w:val="731"/>
    <w:uiPriority w:val="10"/>
    <w:rPr>
      <w:sz w:val="48"/>
      <w:szCs w:val="48"/>
    </w:rPr>
  </w:style>
  <w:style w:type="paragraph" w:styleId="733">
    <w:name w:val="Subtitle"/>
    <w:basedOn w:val="707"/>
    <w:next w:val="707"/>
    <w:link w:val="734"/>
    <w:uiPriority w:val="11"/>
    <w:qFormat/>
    <w:pPr>
      <w:spacing w:before="200" w:after="200"/>
    </w:pPr>
    <w:rPr>
      <w:sz w:val="24"/>
      <w:szCs w:val="24"/>
    </w:rPr>
  </w:style>
  <w:style w:type="character" w:styleId="734" w:customStyle="1">
    <w:name w:val="Подзаголовок Знак"/>
    <w:link w:val="733"/>
    <w:uiPriority w:val="11"/>
    <w:rPr>
      <w:sz w:val="24"/>
      <w:szCs w:val="24"/>
    </w:rPr>
  </w:style>
  <w:style w:type="paragraph" w:styleId="735">
    <w:name w:val="Quote"/>
    <w:basedOn w:val="707"/>
    <w:next w:val="707"/>
    <w:link w:val="736"/>
    <w:uiPriority w:val="29"/>
    <w:qFormat/>
    <w:pPr>
      <w:ind w:left="720" w:right="720"/>
    </w:pPr>
    <w:rPr>
      <w:i/>
    </w:rPr>
  </w:style>
  <w:style w:type="character" w:styleId="736" w:customStyle="1">
    <w:name w:val="Цитата 2 Знак"/>
    <w:link w:val="735"/>
    <w:uiPriority w:val="29"/>
    <w:rPr>
      <w:i/>
    </w:rPr>
  </w:style>
  <w:style w:type="paragraph" w:styleId="737">
    <w:name w:val="Intense Quote"/>
    <w:basedOn w:val="707"/>
    <w:next w:val="707"/>
    <w:link w:val="73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 w:customStyle="1">
    <w:name w:val="Выделенная цитата Знак"/>
    <w:link w:val="737"/>
    <w:uiPriority w:val="30"/>
    <w:rPr>
      <w:i/>
    </w:rPr>
  </w:style>
  <w:style w:type="paragraph" w:styleId="739">
    <w:name w:val="Header"/>
    <w:basedOn w:val="707"/>
    <w:link w:val="899"/>
    <w:uiPriority w:val="99"/>
    <w:pPr>
      <w:tabs>
        <w:tab w:val="center" w:pos="4677" w:leader="none"/>
        <w:tab w:val="right" w:pos="9355" w:leader="none"/>
      </w:tabs>
    </w:pPr>
  </w:style>
  <w:style w:type="character" w:styleId="740" w:customStyle="1">
    <w:name w:val="Header Char"/>
    <w:uiPriority w:val="99"/>
  </w:style>
  <w:style w:type="paragraph" w:styleId="741">
    <w:name w:val="Footer"/>
    <w:basedOn w:val="707"/>
    <w:link w:val="744"/>
    <w:pPr>
      <w:tabs>
        <w:tab w:val="center" w:pos="4677" w:leader="none"/>
        <w:tab w:val="right" w:pos="9355" w:leader="none"/>
      </w:tabs>
    </w:pPr>
  </w:style>
  <w:style w:type="character" w:styleId="742" w:customStyle="1">
    <w:name w:val="Footer Char"/>
    <w:uiPriority w:val="99"/>
  </w:style>
  <w:style w:type="paragraph" w:styleId="743">
    <w:name w:val="Caption"/>
    <w:basedOn w:val="707"/>
    <w:next w:val="70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44" w:customStyle="1">
    <w:name w:val="Нижний колонтитул Знак"/>
    <w:link w:val="741"/>
    <w:uiPriority w:val="99"/>
  </w:style>
  <w:style w:type="table" w:styleId="745">
    <w:name w:val="Table Grid"/>
    <w:basedOn w:val="718"/>
    <w:tblPr/>
  </w:style>
  <w:style w:type="table" w:styleId="74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2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7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8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6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1">
    <w:name w:val="Hyperlink"/>
    <w:rPr>
      <w:color w:val="0000ff"/>
      <w:u w:val="single"/>
    </w:rPr>
  </w:style>
  <w:style w:type="paragraph" w:styleId="872">
    <w:name w:val="footnote text"/>
    <w:basedOn w:val="707"/>
    <w:link w:val="873"/>
    <w:uiPriority w:val="99"/>
    <w:semiHidden/>
    <w:unhideWhenUsed/>
    <w:pPr>
      <w:spacing w:after="40"/>
    </w:pPr>
    <w:rPr>
      <w:sz w:val="18"/>
    </w:rPr>
  </w:style>
  <w:style w:type="character" w:styleId="873" w:customStyle="1">
    <w:name w:val="Текст сноски Знак"/>
    <w:link w:val="872"/>
    <w:uiPriority w:val="99"/>
    <w:rPr>
      <w:sz w:val="18"/>
    </w:rPr>
  </w:style>
  <w:style w:type="character" w:styleId="874">
    <w:name w:val="footnote reference"/>
    <w:uiPriority w:val="99"/>
    <w:unhideWhenUsed/>
    <w:rPr>
      <w:vertAlign w:val="superscript"/>
    </w:rPr>
  </w:style>
  <w:style w:type="paragraph" w:styleId="875">
    <w:name w:val="endnote text"/>
    <w:basedOn w:val="707"/>
    <w:link w:val="876"/>
    <w:uiPriority w:val="99"/>
    <w:semiHidden/>
    <w:unhideWhenUsed/>
    <w:rPr>
      <w:sz w:val="20"/>
    </w:rPr>
  </w:style>
  <w:style w:type="character" w:styleId="876" w:customStyle="1">
    <w:name w:val="Текст концевой сноски Знак"/>
    <w:link w:val="875"/>
    <w:uiPriority w:val="99"/>
    <w:rPr>
      <w:sz w:val="20"/>
    </w:rPr>
  </w:style>
  <w:style w:type="character" w:styleId="877">
    <w:name w:val="endnote reference"/>
    <w:uiPriority w:val="99"/>
    <w:semiHidden/>
    <w:unhideWhenUsed/>
    <w:rPr>
      <w:vertAlign w:val="superscript"/>
    </w:rPr>
  </w:style>
  <w:style w:type="paragraph" w:styleId="878">
    <w:name w:val="toc 1"/>
    <w:basedOn w:val="707"/>
    <w:next w:val="707"/>
    <w:uiPriority w:val="39"/>
    <w:unhideWhenUsed/>
    <w:pPr>
      <w:spacing w:after="57"/>
    </w:pPr>
  </w:style>
  <w:style w:type="paragraph" w:styleId="879">
    <w:name w:val="toc 2"/>
    <w:basedOn w:val="707"/>
    <w:next w:val="707"/>
    <w:uiPriority w:val="39"/>
    <w:unhideWhenUsed/>
    <w:pPr>
      <w:ind w:left="283"/>
      <w:spacing w:after="57"/>
    </w:pPr>
  </w:style>
  <w:style w:type="paragraph" w:styleId="880">
    <w:name w:val="toc 3"/>
    <w:basedOn w:val="707"/>
    <w:next w:val="707"/>
    <w:uiPriority w:val="39"/>
    <w:unhideWhenUsed/>
    <w:pPr>
      <w:ind w:left="567"/>
      <w:spacing w:after="57"/>
    </w:pPr>
  </w:style>
  <w:style w:type="paragraph" w:styleId="881">
    <w:name w:val="toc 4"/>
    <w:basedOn w:val="707"/>
    <w:next w:val="707"/>
    <w:uiPriority w:val="39"/>
    <w:unhideWhenUsed/>
    <w:pPr>
      <w:ind w:left="850"/>
      <w:spacing w:after="57"/>
    </w:pPr>
  </w:style>
  <w:style w:type="paragraph" w:styleId="882">
    <w:name w:val="toc 5"/>
    <w:basedOn w:val="707"/>
    <w:next w:val="707"/>
    <w:uiPriority w:val="39"/>
    <w:unhideWhenUsed/>
    <w:pPr>
      <w:ind w:left="1134"/>
      <w:spacing w:after="57"/>
    </w:pPr>
  </w:style>
  <w:style w:type="paragraph" w:styleId="883">
    <w:name w:val="toc 6"/>
    <w:basedOn w:val="707"/>
    <w:next w:val="707"/>
    <w:uiPriority w:val="39"/>
    <w:unhideWhenUsed/>
    <w:pPr>
      <w:ind w:left="1417"/>
      <w:spacing w:after="57"/>
    </w:pPr>
  </w:style>
  <w:style w:type="paragraph" w:styleId="884">
    <w:name w:val="toc 7"/>
    <w:basedOn w:val="707"/>
    <w:next w:val="707"/>
    <w:uiPriority w:val="39"/>
    <w:unhideWhenUsed/>
    <w:pPr>
      <w:ind w:left="1701"/>
      <w:spacing w:after="57"/>
    </w:pPr>
  </w:style>
  <w:style w:type="paragraph" w:styleId="885">
    <w:name w:val="toc 8"/>
    <w:basedOn w:val="707"/>
    <w:next w:val="707"/>
    <w:uiPriority w:val="39"/>
    <w:unhideWhenUsed/>
    <w:pPr>
      <w:ind w:left="1984"/>
      <w:spacing w:after="57"/>
    </w:pPr>
  </w:style>
  <w:style w:type="paragraph" w:styleId="886">
    <w:name w:val="toc 9"/>
    <w:basedOn w:val="707"/>
    <w:next w:val="707"/>
    <w:uiPriority w:val="39"/>
    <w:unhideWhenUsed/>
    <w:pPr>
      <w:ind w:left="2268"/>
      <w:spacing w:after="57"/>
    </w:pPr>
  </w:style>
  <w:style w:type="paragraph" w:styleId="887">
    <w:name w:val="TOC Heading"/>
    <w:uiPriority w:val="39"/>
    <w:unhideWhenUsed/>
    <w:rPr>
      <w:lang w:eastAsia="zh-CN"/>
    </w:rPr>
  </w:style>
  <w:style w:type="paragraph" w:styleId="888">
    <w:name w:val="table of figures"/>
    <w:basedOn w:val="707"/>
    <w:next w:val="707"/>
    <w:uiPriority w:val="99"/>
    <w:unhideWhenUsed/>
  </w:style>
  <w:style w:type="character" w:styleId="889" w:customStyle="1">
    <w:name w:val="Заголовок 1 Знак"/>
    <w:link w:val="708"/>
    <w:rPr>
      <w:rFonts w:eastAsia="Calibri"/>
      <w:sz w:val="28"/>
      <w:lang w:val="ru-RU" w:eastAsia="ru-RU" w:bidi="ar-SA"/>
    </w:rPr>
  </w:style>
  <w:style w:type="character" w:styleId="890" w:customStyle="1">
    <w:name w:val="Заголовок 3 Знак"/>
    <w:link w:val="710"/>
    <w:rPr>
      <w:rFonts w:eastAsia="Calibri"/>
      <w:sz w:val="28"/>
      <w:lang w:val="ru-RU" w:eastAsia="ru-RU" w:bidi="ar-SA"/>
    </w:rPr>
  </w:style>
  <w:style w:type="character" w:styleId="891" w:customStyle="1">
    <w:name w:val="Заголовок 4 Знак"/>
    <w:link w:val="711"/>
    <w:rPr>
      <w:rFonts w:eastAsia="Calibri"/>
      <w:b/>
      <w:sz w:val="28"/>
      <w:lang w:val="ru-RU" w:eastAsia="ru-RU" w:bidi="ar-SA"/>
    </w:rPr>
  </w:style>
  <w:style w:type="paragraph" w:styleId="892">
    <w:name w:val="Body Text"/>
    <w:basedOn w:val="707"/>
    <w:link w:val="893"/>
    <w:pPr>
      <w:jc w:val="center"/>
    </w:pPr>
    <w:rPr>
      <w:b/>
    </w:rPr>
  </w:style>
  <w:style w:type="character" w:styleId="893" w:customStyle="1">
    <w:name w:val="Основной текст Знак"/>
    <w:link w:val="892"/>
    <w:rPr>
      <w:rFonts w:eastAsia="Calibri"/>
      <w:b/>
      <w:sz w:val="28"/>
      <w:lang w:val="ru-RU" w:eastAsia="ru-RU" w:bidi="ar-SA"/>
    </w:rPr>
  </w:style>
  <w:style w:type="paragraph" w:styleId="894">
    <w:name w:val="Plain Text"/>
    <w:basedOn w:val="707"/>
    <w:link w:val="895"/>
    <w:rPr>
      <w:rFonts w:ascii="Courier New" w:hAnsi="Courier New"/>
      <w:sz w:val="20"/>
    </w:rPr>
  </w:style>
  <w:style w:type="character" w:styleId="895" w:customStyle="1">
    <w:name w:val="Текст Знак"/>
    <w:link w:val="894"/>
    <w:rPr>
      <w:rFonts w:ascii="Courier New" w:hAnsi="Courier New" w:eastAsia="Calibri"/>
      <w:lang w:val="ru-RU" w:eastAsia="ru-RU" w:bidi="ar-SA"/>
    </w:rPr>
  </w:style>
  <w:style w:type="paragraph" w:styleId="896" w:customStyle="1">
    <w:name w:val="ConsNormal"/>
    <w:pPr>
      <w:ind w:firstLine="720"/>
    </w:pPr>
    <w:rPr>
      <w:rFonts w:ascii="Arial" w:hAnsi="Arial" w:eastAsia="Calibri"/>
      <w:sz w:val="22"/>
    </w:rPr>
  </w:style>
  <w:style w:type="paragraph" w:styleId="897">
    <w:name w:val="Body Text Indent"/>
    <w:basedOn w:val="707"/>
    <w:link w:val="898"/>
    <w:pPr>
      <w:ind w:firstLine="720"/>
      <w:jc w:val="both"/>
      <w:spacing w:line="360" w:lineRule="auto"/>
    </w:pPr>
  </w:style>
  <w:style w:type="character" w:styleId="898" w:customStyle="1">
    <w:name w:val="Основной текст с отступом Знак"/>
    <w:link w:val="897"/>
    <w:rPr>
      <w:rFonts w:eastAsia="Calibri"/>
      <w:sz w:val="28"/>
      <w:lang w:val="ru-RU" w:eastAsia="ru-RU" w:bidi="ar-SA"/>
    </w:rPr>
  </w:style>
  <w:style w:type="character" w:styleId="899" w:customStyle="1">
    <w:name w:val="Верхний колонтитул Знак"/>
    <w:link w:val="739"/>
    <w:uiPriority w:val="99"/>
    <w:rPr>
      <w:rFonts w:eastAsia="Calibri"/>
      <w:sz w:val="28"/>
      <w:lang w:val="ru-RU" w:eastAsia="ru-RU" w:bidi="ar-SA"/>
    </w:rPr>
  </w:style>
  <w:style w:type="paragraph" w:styleId="900" w:customStyle="1">
    <w:name w:val="Название"/>
    <w:basedOn w:val="707"/>
    <w:link w:val="901"/>
    <w:qFormat/>
    <w:pPr>
      <w:jc w:val="center"/>
      <w:spacing w:line="216" w:lineRule="auto"/>
    </w:pPr>
    <w:rPr>
      <w:b/>
      <w:szCs w:val="24"/>
    </w:rPr>
  </w:style>
  <w:style w:type="character" w:styleId="901" w:customStyle="1">
    <w:name w:val="Название Знак"/>
    <w:link w:val="900"/>
    <w:rPr>
      <w:rFonts w:eastAsia="Calibri"/>
      <w:b/>
      <w:sz w:val="28"/>
      <w:szCs w:val="24"/>
      <w:lang w:val="ru-RU" w:eastAsia="ru-RU" w:bidi="ar-SA"/>
    </w:rPr>
  </w:style>
  <w:style w:type="paragraph" w:styleId="902" w:customStyle="1">
    <w:name w:val="заголовок 2"/>
    <w:basedOn w:val="707"/>
    <w:next w:val="707"/>
    <w:pPr>
      <w:ind w:firstLine="720"/>
      <w:jc w:val="center"/>
      <w:keepNext/>
      <w:outlineLvl w:val="1"/>
    </w:pPr>
    <w:rPr>
      <w:b/>
    </w:rPr>
  </w:style>
  <w:style w:type="paragraph" w:styleId="903">
    <w:name w:val="Balloon Text"/>
    <w:basedOn w:val="707"/>
    <w:semiHidden/>
    <w:rPr>
      <w:rFonts w:ascii="Tahoma" w:hAnsi="Tahoma" w:cs="Tahoma"/>
      <w:sz w:val="16"/>
      <w:szCs w:val="16"/>
    </w:rPr>
  </w:style>
  <w:style w:type="character" w:styleId="904">
    <w:name w:val="page number"/>
    <w:basedOn w:val="717"/>
  </w:style>
  <w:style w:type="paragraph" w:styleId="905">
    <w:name w:val="Body Text 2"/>
    <w:basedOn w:val="707"/>
    <w:link w:val="906"/>
    <w:pPr>
      <w:spacing w:after="120" w:line="480" w:lineRule="auto"/>
    </w:pPr>
    <w:rPr>
      <w:lang w:val="en-US" w:eastAsia="en-US"/>
    </w:rPr>
  </w:style>
  <w:style w:type="character" w:styleId="906" w:customStyle="1">
    <w:name w:val="Основной текст 2 Знак"/>
    <w:link w:val="905"/>
    <w:rPr>
      <w:rFonts w:eastAsia="Calibri"/>
      <w:sz w:val="28"/>
    </w:rPr>
  </w:style>
  <w:style w:type="paragraph" w:styleId="907" w:customStyle="1">
    <w:name w:val="ConsPlusTitle"/>
    <w:pPr>
      <w:widowControl w:val="off"/>
    </w:pPr>
    <w:rPr>
      <w:rFonts w:ascii="Calibri" w:hAnsi="Calibri" w:cs="Calibri"/>
      <w:b/>
      <w:bCs/>
      <w:sz w:val="22"/>
      <w:szCs w:val="22"/>
    </w:rPr>
  </w:style>
  <w:style w:type="paragraph" w:styleId="908">
    <w:name w:val="Body Text 3"/>
    <w:basedOn w:val="707"/>
    <w:link w:val="909"/>
    <w:pPr>
      <w:spacing w:after="120"/>
    </w:pPr>
    <w:rPr>
      <w:sz w:val="16"/>
      <w:szCs w:val="16"/>
      <w:lang w:val="en-US" w:eastAsia="en-US"/>
    </w:rPr>
  </w:style>
  <w:style w:type="character" w:styleId="909" w:customStyle="1">
    <w:name w:val="Основной текст 3 Знак"/>
    <w:link w:val="908"/>
    <w:rPr>
      <w:rFonts w:eastAsia="Calibri"/>
      <w:sz w:val="16"/>
      <w:szCs w:val="16"/>
    </w:rPr>
  </w:style>
  <w:style w:type="paragraph" w:styleId="910">
    <w:name w:val="Normal (Web)"/>
    <w:basedOn w:val="707"/>
    <w:uiPriority w:val="99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911" w:customStyle="1">
    <w:name w:val="ConsPlusNormal"/>
    <w:rPr>
      <w:rFonts w:ascii="Arial" w:hAnsi="Arial" w:cs="Arial"/>
    </w:rPr>
  </w:style>
  <w:style w:type="character" w:styleId="912" w:customStyle="1">
    <w:name w:val="text"/>
  </w:style>
  <w:style w:type="paragraph" w:styleId="913" w:customStyle="1">
    <w:name w:val="ConsPlusCell"/>
    <w:uiPriority w:val="99"/>
    <w:pPr>
      <w:widowControl w:val="off"/>
    </w:pPr>
    <w:rPr>
      <w:rFonts w:ascii="Calibri" w:hAnsi="Calibri" w:cs="Calibri"/>
      <w:sz w:val="22"/>
      <w:szCs w:val="22"/>
    </w:rPr>
  </w:style>
  <w:style w:type="paragraph" w:styleId="914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character" w:styleId="915">
    <w:name w:val="annotation reference"/>
    <w:uiPriority w:val="99"/>
    <w:semiHidden/>
    <w:unhideWhenUsed/>
    <w:rPr>
      <w:sz w:val="16"/>
      <w:szCs w:val="16"/>
    </w:rPr>
  </w:style>
  <w:style w:type="paragraph" w:styleId="916">
    <w:name w:val="annotation text"/>
    <w:basedOn w:val="707"/>
    <w:link w:val="917"/>
    <w:uiPriority w:val="99"/>
    <w:semiHidden/>
    <w:unhideWhenUsed/>
    <w:rPr>
      <w:sz w:val="20"/>
    </w:rPr>
  </w:style>
  <w:style w:type="character" w:styleId="917" w:customStyle="1">
    <w:name w:val="Текст примечания Знак"/>
    <w:link w:val="916"/>
    <w:uiPriority w:val="99"/>
    <w:semiHidden/>
    <w:rPr>
      <w:rFonts w:eastAsia="Calibri"/>
      <w:lang w:eastAsia="ru-RU"/>
    </w:rPr>
  </w:style>
  <w:style w:type="paragraph" w:styleId="918">
    <w:name w:val="annotation subject"/>
    <w:basedOn w:val="916"/>
    <w:next w:val="916"/>
    <w:link w:val="919"/>
    <w:uiPriority w:val="99"/>
    <w:semiHidden/>
    <w:unhideWhenUsed/>
    <w:rPr>
      <w:b/>
      <w:bCs/>
    </w:rPr>
  </w:style>
  <w:style w:type="character" w:styleId="919" w:customStyle="1">
    <w:name w:val="Тема примечания Знак"/>
    <w:link w:val="918"/>
    <w:uiPriority w:val="99"/>
    <w:semiHidden/>
    <w:rPr>
      <w:rFonts w:eastAsia="Calibri"/>
      <w:b/>
      <w:bCs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ДОНО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Косоурова А.В.</dc:creator>
  <cp:revision>27</cp:revision>
  <dcterms:created xsi:type="dcterms:W3CDTF">2016-09-23T02:16:00Z</dcterms:created>
  <dcterms:modified xsi:type="dcterms:W3CDTF">2025-10-08T08:26:55Z</dcterms:modified>
  <cp:version>983040</cp:version>
</cp:coreProperties>
</file>